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ED05" w14:textId="77777777" w:rsidR="00EA30E3"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4A08DFC5" wp14:editId="517D6EC5">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4C13AE3C" w14:textId="77777777" w:rsidR="00EA30E3" w:rsidRDefault="00EA30E3">
      <w:pPr>
        <w:spacing w:line="0" w:lineRule="atLeast"/>
        <w:ind w:left="2"/>
        <w:jc w:val="center"/>
        <w:rPr>
          <w:rFonts w:ascii="Times New Roman" w:eastAsia="Times New Roman" w:hAnsi="Times New Roman"/>
          <w:b/>
          <w:sz w:val="36"/>
          <w:szCs w:val="36"/>
        </w:rPr>
      </w:pPr>
    </w:p>
    <w:p w14:paraId="2A101056" w14:textId="77777777" w:rsidR="00EA30E3"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454F733B" w14:textId="77777777" w:rsidR="00EA30E3"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1687 Chang Yang Rd, Shanghai, China.</w:t>
      </w:r>
    </w:p>
    <w:p w14:paraId="14047CEC" w14:textId="77777777" w:rsidR="00EA30E3"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0B391F16" w14:textId="77777777" w:rsidR="00EA30E3" w:rsidRDefault="00EA30E3">
      <w:pPr>
        <w:rPr>
          <w:rFonts w:ascii="Times New Roman" w:hAnsi="Times New Roman"/>
          <w:b/>
          <w:color w:val="000000"/>
          <w:sz w:val="30"/>
        </w:rPr>
      </w:pPr>
    </w:p>
    <w:p w14:paraId="296A4F0F" w14:textId="77777777" w:rsidR="00EA30E3"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Interleukin 10(IL-10)</w:t>
      </w:r>
      <w:r>
        <w:rPr>
          <w:rFonts w:ascii="Times New Roman" w:hAnsi="Times New Roman"/>
          <w:b/>
          <w:color w:val="000000"/>
          <w:sz w:val="30"/>
        </w:rPr>
        <w:t xml:space="preserve"> ELISA Kit </w:t>
      </w:r>
    </w:p>
    <w:p w14:paraId="6E67B189" w14:textId="77777777" w:rsidR="00EA30E3" w:rsidRDefault="00EA30E3">
      <w:pPr>
        <w:jc w:val="center"/>
        <w:rPr>
          <w:b/>
          <w:color w:val="000000"/>
          <w:sz w:val="30"/>
        </w:rPr>
      </w:pPr>
    </w:p>
    <w:p w14:paraId="1B12D2BA" w14:textId="77777777" w:rsidR="00EA30E3"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CK-bio-12085</w:t>
      </w:r>
    </w:p>
    <w:p w14:paraId="3C2AEA16" w14:textId="77777777" w:rsidR="00EA30E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Standard Curve Range:</w:t>
      </w:r>
      <w:r>
        <w:rPr>
          <w:rFonts w:ascii="Times New Roman" w:hAnsi="Times New Roman" w:cs="Times New Roman"/>
          <w:sz w:val="22"/>
          <w:szCs w:val="22"/>
        </w:rPr>
        <w:t xml:space="preserve"> </w:t>
      </w:r>
      <w:r>
        <w:rPr>
          <w:rFonts w:ascii="Times New Roman" w:hAnsi="Times New Roman" w:cs="Times New Roman" w:hint="eastAsia"/>
          <w:sz w:val="22"/>
          <w:szCs w:val="22"/>
        </w:rPr>
        <w:t>10pg/mL</w:t>
      </w:r>
      <w:r>
        <w:rPr>
          <w:rFonts w:ascii="Times New Roman" w:hAnsi="Times New Roman" w:cs="Times New Roman"/>
          <w:sz w:val="22"/>
          <w:szCs w:val="22"/>
        </w:rPr>
        <w:t xml:space="preserve"> -</w:t>
      </w:r>
      <w:r>
        <w:rPr>
          <w:rFonts w:ascii="Times New Roman" w:hAnsi="Times New Roman" w:cs="Times New Roman" w:hint="eastAsia"/>
          <w:sz w:val="22"/>
          <w:szCs w:val="22"/>
        </w:rPr>
        <w:t>500pg/mL</w:t>
      </w:r>
      <w:r>
        <w:rPr>
          <w:rFonts w:ascii="Times New Roman" w:hAnsi="Times New Roman" w:cs="Times New Roman"/>
          <w:sz w:val="22"/>
          <w:szCs w:val="22"/>
        </w:rPr>
        <w:tab/>
      </w:r>
    </w:p>
    <w:p w14:paraId="55631087" w14:textId="77777777" w:rsidR="00EA30E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1.0pg/mL</w:t>
      </w:r>
    </w:p>
    <w:p w14:paraId="547DF045" w14:textId="77777777" w:rsidR="00EA30E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7E77701D" w14:textId="77777777" w:rsidR="00EA30E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4714FBB3" w14:textId="77777777" w:rsidR="00EA30E3"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gramEnd"/>
      <w:r>
        <w:rPr>
          <w:rFonts w:ascii="Times New Roman" w:hAnsi="Times New Roman" w:cs="Times New Roman" w:hint="eastAsia"/>
          <w:sz w:val="22"/>
          <w:szCs w:val="22"/>
        </w:rPr>
        <w:t>, plasma, cell culture supernatants, body fluid and tissue homogenate</w:t>
      </w:r>
    </w:p>
    <w:p w14:paraId="0B08E2EA" w14:textId="77777777" w:rsidR="00EA30E3" w:rsidRDefault="00EA30E3">
      <w:pPr>
        <w:adjustRightInd w:val="0"/>
        <w:snapToGrid w:val="0"/>
        <w:spacing w:line="360" w:lineRule="auto"/>
        <w:jc w:val="left"/>
        <w:rPr>
          <w:rFonts w:ascii="Times New Roman" w:hAnsi="Times New Roman" w:cs="Times New Roman"/>
          <w:sz w:val="22"/>
          <w:szCs w:val="22"/>
        </w:rPr>
      </w:pPr>
    </w:p>
    <w:p w14:paraId="6EF5D929" w14:textId="77777777" w:rsidR="00EA30E3" w:rsidRDefault="00EA30E3">
      <w:pPr>
        <w:tabs>
          <w:tab w:val="left" w:pos="422"/>
        </w:tabs>
        <w:spacing w:line="412" w:lineRule="auto"/>
        <w:rPr>
          <w:rFonts w:ascii="Times New Roman" w:eastAsia="Times New Roman" w:hAnsi="Times New Roman"/>
          <w:bCs/>
          <w:sz w:val="22"/>
          <w:szCs w:val="22"/>
        </w:rPr>
      </w:pPr>
    </w:p>
    <w:p w14:paraId="6898F5E6" w14:textId="77777777" w:rsidR="00EA30E3"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4F1E6A12" w14:textId="77777777" w:rsidR="00EA30E3"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5CD8157F" w14:textId="77777777" w:rsidR="00EA30E3" w:rsidRDefault="00EA30E3">
      <w:pPr>
        <w:rPr>
          <w:rFonts w:ascii="Times New Roman" w:hAnsi="Times New Roman" w:cs="Times New Roman"/>
          <w:sz w:val="24"/>
        </w:rPr>
      </w:pPr>
    </w:p>
    <w:p w14:paraId="68BD849F" w14:textId="77777777" w:rsidR="00EA30E3" w:rsidRDefault="00EA30E3">
      <w:pPr>
        <w:rPr>
          <w:rFonts w:ascii="Times New Roman" w:hAnsi="Times New Roman" w:cs="Times New Roman"/>
          <w:sz w:val="24"/>
        </w:rPr>
      </w:pPr>
    </w:p>
    <w:p w14:paraId="4995BFA6" w14:textId="77777777" w:rsidR="00EA30E3"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10E60EC3" w14:textId="77777777" w:rsidR="00EA30E3" w:rsidRDefault="00EA30E3">
      <w:pPr>
        <w:rPr>
          <w:rFonts w:ascii="Times New Roman" w:hAnsi="Times New Roman" w:cs="Times New Roman"/>
          <w:sz w:val="24"/>
        </w:rPr>
      </w:pPr>
    </w:p>
    <w:p w14:paraId="64D0FEF1"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40D154EB" w14:textId="77777777" w:rsidR="00EA30E3"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39B38E64" w14:textId="77777777" w:rsidR="00EA30E3" w:rsidRDefault="00EA30E3">
      <w:pPr>
        <w:rPr>
          <w:rFonts w:ascii="Times New Roman" w:hAnsi="Times New Roman" w:cs="Times New Roman"/>
          <w:sz w:val="22"/>
          <w:szCs w:val="22"/>
        </w:rPr>
      </w:pPr>
    </w:p>
    <w:p w14:paraId="386A760F" w14:textId="77777777" w:rsidR="00EA30E3"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673FEE38" w14:textId="77777777" w:rsidR="00EA30E3" w:rsidRDefault="00EA30E3">
      <w:pPr>
        <w:tabs>
          <w:tab w:val="left" w:pos="559"/>
        </w:tabs>
        <w:jc w:val="left"/>
        <w:rPr>
          <w:rFonts w:ascii="Times New Roman" w:eastAsia="SimSun" w:hAnsi="Times New Roman"/>
          <w:b/>
          <w:bCs/>
          <w:sz w:val="28"/>
        </w:rPr>
      </w:pPr>
    </w:p>
    <w:p w14:paraId="1AA2D335" w14:textId="77777777" w:rsidR="00EA30E3" w:rsidRDefault="00EA30E3">
      <w:pPr>
        <w:tabs>
          <w:tab w:val="left" w:pos="559"/>
        </w:tabs>
        <w:jc w:val="left"/>
        <w:rPr>
          <w:rFonts w:ascii="Times New Roman" w:eastAsia="SimSun" w:hAnsi="Times New Roman"/>
          <w:b/>
          <w:bCs/>
          <w:sz w:val="28"/>
        </w:rPr>
      </w:pPr>
    </w:p>
    <w:p w14:paraId="738D4B34" w14:textId="77777777" w:rsidR="00EA30E3"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0E8AF784"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For the quantitative determination of Human Interleukin 10(IL-10) concentrations in serum, plasma, saliva, urine, tissue homogenate, cell culture supernates and other biological fluids.</w:t>
      </w:r>
    </w:p>
    <w:p w14:paraId="04462C8B" w14:textId="77777777" w:rsidR="00EA30E3" w:rsidRDefault="00EA30E3">
      <w:pPr>
        <w:spacing w:line="0" w:lineRule="atLeast"/>
        <w:rPr>
          <w:rFonts w:ascii="Times New Roman" w:eastAsia="SimSun" w:hAnsi="Times New Roman"/>
          <w:b/>
          <w:bCs/>
          <w:sz w:val="28"/>
          <w:szCs w:val="28"/>
        </w:rPr>
      </w:pPr>
    </w:p>
    <w:p w14:paraId="13277CB5" w14:textId="77777777" w:rsidR="00EA30E3"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6CE7E5AC"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Interleukin 10(IL-10), based on the principle of double antibody sandwich technology enzyme linked immunosorbent assay (ELISA). </w:t>
      </w:r>
    </w:p>
    <w:p w14:paraId="1762E0FC"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Interleukin 10(IL-10).</w:t>
      </w:r>
    </w:p>
    <w:p w14:paraId="475DF3CC" w14:textId="77777777" w:rsidR="00EA30E3" w:rsidRDefault="00EA30E3">
      <w:pPr>
        <w:widowControl/>
        <w:snapToGrid w:val="0"/>
        <w:spacing w:before="80" w:line="360" w:lineRule="auto"/>
        <w:jc w:val="left"/>
        <w:rPr>
          <w:rFonts w:ascii="Times New Roman" w:eastAsia="Microsoft YaHei" w:hAnsi="Times New Roman"/>
          <w:iCs/>
          <w:sz w:val="22"/>
          <w:szCs w:val="22"/>
        </w:rPr>
      </w:pPr>
    </w:p>
    <w:p w14:paraId="7A5EA130" w14:textId="77777777" w:rsidR="00EA30E3"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1B5AA49A"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7F696CA7"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gramStart"/>
      <w:r>
        <w:rPr>
          <w:rFonts w:ascii="Times New Roman" w:eastAsia="Gulim" w:hAnsi="Times New Roman" w:cs="Times New Roman"/>
          <w:color w:val="000000"/>
          <w:kern w:val="0"/>
          <w:sz w:val="22"/>
          <w:szCs w:val="22"/>
        </w:rPr>
        <w:t>date.Do</w:t>
      </w:r>
      <w:proofErr w:type="gramEnd"/>
      <w:r>
        <w:rPr>
          <w:rFonts w:ascii="Times New Roman" w:eastAsia="Gulim" w:hAnsi="Times New Roman" w:cs="Times New Roman"/>
          <w:color w:val="000000"/>
          <w:kern w:val="0"/>
          <w:sz w:val="22"/>
          <w:szCs w:val="22"/>
        </w:rPr>
        <w:t xml:space="preserve"> not use kit components beyond their expiration date. </w:t>
      </w:r>
    </w:p>
    <w:p w14:paraId="0A7A322A"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0CE33387"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033C735A"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4121E4BD"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4C510479"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5B257052"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4652D5E0"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 xml:space="preserve">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72E3D547"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2979FC01"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47C58BE7"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0094F915" w14:textId="77777777" w:rsidR="00EA30E3" w:rsidRDefault="00EA30E3">
      <w:pPr>
        <w:widowControl/>
        <w:snapToGrid w:val="0"/>
        <w:spacing w:before="80" w:line="360" w:lineRule="auto"/>
        <w:jc w:val="left"/>
        <w:rPr>
          <w:rFonts w:ascii="Times New Roman" w:eastAsia="Microsoft YaHei" w:hAnsi="Times New Roman"/>
          <w:iCs/>
          <w:sz w:val="22"/>
          <w:szCs w:val="22"/>
        </w:rPr>
      </w:pPr>
    </w:p>
    <w:p w14:paraId="6E245E23" w14:textId="77777777" w:rsidR="00EA30E3"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043C57CF" w14:textId="77777777" w:rsidR="00EA30E3"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240"/>
        <w:gridCol w:w="2070"/>
        <w:gridCol w:w="2097"/>
      </w:tblGrid>
      <w:tr w:rsidR="00EA30E3" w14:paraId="71124534" w14:textId="77777777">
        <w:trPr>
          <w:trHeight w:val="352"/>
        </w:trPr>
        <w:tc>
          <w:tcPr>
            <w:tcW w:w="4063" w:type="dxa"/>
            <w:gridSpan w:val="2"/>
            <w:tcBorders>
              <w:top w:val="single" w:sz="4" w:space="0" w:color="auto"/>
              <w:left w:val="single" w:sz="4" w:space="0" w:color="auto"/>
              <w:bottom w:val="single" w:sz="4" w:space="0" w:color="auto"/>
              <w:right w:val="single" w:sz="4" w:space="0" w:color="auto"/>
            </w:tcBorders>
            <w:vAlign w:val="center"/>
          </w:tcPr>
          <w:p w14:paraId="1A015F37" w14:textId="77777777" w:rsidR="00EA30E3"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2070" w:type="dxa"/>
            <w:tcBorders>
              <w:left w:val="single" w:sz="4" w:space="0" w:color="auto"/>
            </w:tcBorders>
            <w:vAlign w:val="center"/>
          </w:tcPr>
          <w:p w14:paraId="41AE919B" w14:textId="77777777" w:rsidR="00EA30E3"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2097" w:type="dxa"/>
            <w:vAlign w:val="center"/>
          </w:tcPr>
          <w:p w14:paraId="6114ABDE" w14:textId="77777777" w:rsidR="00EA30E3"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EA30E3" w14:paraId="1CCDE94C" w14:textId="77777777">
        <w:trPr>
          <w:trHeight w:val="299"/>
        </w:trPr>
        <w:tc>
          <w:tcPr>
            <w:tcW w:w="823" w:type="dxa"/>
            <w:tcBorders>
              <w:top w:val="single" w:sz="4" w:space="0" w:color="auto"/>
            </w:tcBorders>
            <w:vAlign w:val="center"/>
          </w:tcPr>
          <w:p w14:paraId="64F5C8C2" w14:textId="77777777" w:rsidR="00EA30E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240" w:type="dxa"/>
            <w:tcBorders>
              <w:top w:val="single" w:sz="4" w:space="0" w:color="auto"/>
            </w:tcBorders>
            <w:vAlign w:val="center"/>
          </w:tcPr>
          <w:p w14:paraId="4423B7D5" w14:textId="77777777" w:rsidR="00EA30E3"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Microelisa stripplate</w:t>
            </w:r>
          </w:p>
        </w:tc>
        <w:tc>
          <w:tcPr>
            <w:tcW w:w="2070" w:type="dxa"/>
            <w:vAlign w:val="center"/>
          </w:tcPr>
          <w:p w14:paraId="29503BCD"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2097" w:type="dxa"/>
            <w:vAlign w:val="center"/>
          </w:tcPr>
          <w:p w14:paraId="0612DDA6"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EA30E3" w14:paraId="48B9EB00" w14:textId="77777777">
        <w:trPr>
          <w:trHeight w:val="314"/>
        </w:trPr>
        <w:tc>
          <w:tcPr>
            <w:tcW w:w="823" w:type="dxa"/>
            <w:vAlign w:val="center"/>
          </w:tcPr>
          <w:p w14:paraId="227BC0BC"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240" w:type="dxa"/>
            <w:vAlign w:val="center"/>
          </w:tcPr>
          <w:p w14:paraId="009DA1A6"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2070" w:type="dxa"/>
            <w:vAlign w:val="center"/>
          </w:tcPr>
          <w:p w14:paraId="3A4F1D5E"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0pg/mL</w:t>
            </w:r>
          </w:p>
        </w:tc>
        <w:tc>
          <w:tcPr>
            <w:tcW w:w="2097" w:type="dxa"/>
            <w:vAlign w:val="center"/>
          </w:tcPr>
          <w:p w14:paraId="0826849B"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0pg/mL</w:t>
            </w:r>
          </w:p>
        </w:tc>
      </w:tr>
      <w:tr w:rsidR="00EA30E3" w14:paraId="7C01BD93" w14:textId="77777777">
        <w:trPr>
          <w:trHeight w:val="314"/>
        </w:trPr>
        <w:tc>
          <w:tcPr>
            <w:tcW w:w="823" w:type="dxa"/>
            <w:vAlign w:val="center"/>
          </w:tcPr>
          <w:p w14:paraId="1F793DC9"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240" w:type="dxa"/>
            <w:vAlign w:val="center"/>
          </w:tcPr>
          <w:p w14:paraId="0944193F"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2070" w:type="dxa"/>
            <w:vAlign w:val="center"/>
          </w:tcPr>
          <w:p w14:paraId="14893578" w14:textId="77777777" w:rsidR="00EA30E3"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312.5pg/mL</w:t>
            </w:r>
          </w:p>
        </w:tc>
        <w:tc>
          <w:tcPr>
            <w:tcW w:w="2097" w:type="dxa"/>
            <w:vAlign w:val="center"/>
          </w:tcPr>
          <w:p w14:paraId="6ED4FD2E" w14:textId="77777777" w:rsidR="00EA30E3"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312.5pg/mL</w:t>
            </w:r>
          </w:p>
        </w:tc>
      </w:tr>
      <w:tr w:rsidR="00EA30E3" w14:paraId="40239CAE" w14:textId="77777777">
        <w:trPr>
          <w:trHeight w:val="314"/>
        </w:trPr>
        <w:tc>
          <w:tcPr>
            <w:tcW w:w="823" w:type="dxa"/>
            <w:vAlign w:val="center"/>
          </w:tcPr>
          <w:p w14:paraId="69D2B7F2"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240" w:type="dxa"/>
            <w:vAlign w:val="center"/>
          </w:tcPr>
          <w:p w14:paraId="53E7AF61"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2070" w:type="dxa"/>
            <w:vAlign w:val="center"/>
          </w:tcPr>
          <w:p w14:paraId="7A400EBA"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625pg/mL</w:t>
            </w:r>
          </w:p>
        </w:tc>
        <w:tc>
          <w:tcPr>
            <w:tcW w:w="2097" w:type="dxa"/>
            <w:vAlign w:val="center"/>
          </w:tcPr>
          <w:p w14:paraId="0681E465"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625pg/mL</w:t>
            </w:r>
          </w:p>
        </w:tc>
      </w:tr>
      <w:tr w:rsidR="00EA30E3" w14:paraId="1BAB07A8" w14:textId="77777777">
        <w:trPr>
          <w:trHeight w:val="314"/>
        </w:trPr>
        <w:tc>
          <w:tcPr>
            <w:tcW w:w="823" w:type="dxa"/>
            <w:vAlign w:val="center"/>
          </w:tcPr>
          <w:p w14:paraId="313E9C93"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240" w:type="dxa"/>
            <w:vAlign w:val="center"/>
          </w:tcPr>
          <w:p w14:paraId="4A097351"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2070" w:type="dxa"/>
            <w:vAlign w:val="center"/>
          </w:tcPr>
          <w:p w14:paraId="6799C1F1"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1250pg/mL</w:t>
            </w:r>
          </w:p>
        </w:tc>
        <w:tc>
          <w:tcPr>
            <w:tcW w:w="2097" w:type="dxa"/>
            <w:vAlign w:val="center"/>
          </w:tcPr>
          <w:p w14:paraId="10B21A63"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1250pg/mL</w:t>
            </w:r>
          </w:p>
        </w:tc>
      </w:tr>
      <w:tr w:rsidR="00EA30E3" w14:paraId="3C38525E" w14:textId="77777777">
        <w:trPr>
          <w:trHeight w:val="314"/>
        </w:trPr>
        <w:tc>
          <w:tcPr>
            <w:tcW w:w="823" w:type="dxa"/>
            <w:vAlign w:val="center"/>
          </w:tcPr>
          <w:p w14:paraId="0B517AA5"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240" w:type="dxa"/>
            <w:vAlign w:val="center"/>
          </w:tcPr>
          <w:p w14:paraId="4FDAD1C6"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2070" w:type="dxa"/>
            <w:vAlign w:val="center"/>
          </w:tcPr>
          <w:p w14:paraId="18AE7DDC"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2500pg/mL</w:t>
            </w:r>
          </w:p>
        </w:tc>
        <w:tc>
          <w:tcPr>
            <w:tcW w:w="2097" w:type="dxa"/>
            <w:vAlign w:val="center"/>
          </w:tcPr>
          <w:p w14:paraId="791F2E18"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2500pg/mL</w:t>
            </w:r>
          </w:p>
        </w:tc>
      </w:tr>
      <w:tr w:rsidR="00EA30E3" w14:paraId="10DE126E" w14:textId="77777777">
        <w:trPr>
          <w:trHeight w:val="314"/>
        </w:trPr>
        <w:tc>
          <w:tcPr>
            <w:tcW w:w="823" w:type="dxa"/>
            <w:vAlign w:val="center"/>
          </w:tcPr>
          <w:p w14:paraId="57BCBF88"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240" w:type="dxa"/>
            <w:vAlign w:val="center"/>
          </w:tcPr>
          <w:p w14:paraId="7F0CA702"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2070" w:type="dxa"/>
            <w:vAlign w:val="center"/>
          </w:tcPr>
          <w:p w14:paraId="236FF96E"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5000pg/mL</w:t>
            </w:r>
          </w:p>
        </w:tc>
        <w:tc>
          <w:tcPr>
            <w:tcW w:w="2097" w:type="dxa"/>
            <w:vAlign w:val="center"/>
          </w:tcPr>
          <w:p w14:paraId="19C0B4A0" w14:textId="77777777" w:rsidR="00EA30E3" w:rsidRDefault="00000000">
            <w:pPr>
              <w:jc w:val="center"/>
              <w:rPr>
                <w:rFonts w:ascii="Times New Roman" w:hAnsi="Times New Roman" w:cs="Times New Roman"/>
                <w:sz w:val="22"/>
                <w:szCs w:val="22"/>
              </w:rPr>
            </w:pPr>
            <w:r>
              <w:rPr>
                <w:rFonts w:ascii="Times New Roman" w:hAnsi="Times New Roman" w:hint="eastAsia"/>
                <w:sz w:val="22"/>
                <w:szCs w:val="22"/>
              </w:rPr>
              <w:t>5000pg/mL</w:t>
            </w:r>
          </w:p>
        </w:tc>
      </w:tr>
      <w:tr w:rsidR="00EA30E3" w14:paraId="3CF0388C" w14:textId="77777777">
        <w:trPr>
          <w:trHeight w:val="279"/>
        </w:trPr>
        <w:tc>
          <w:tcPr>
            <w:tcW w:w="823" w:type="dxa"/>
            <w:vAlign w:val="center"/>
          </w:tcPr>
          <w:p w14:paraId="3275B132"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240" w:type="dxa"/>
            <w:vAlign w:val="center"/>
          </w:tcPr>
          <w:p w14:paraId="681B9D95"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2070" w:type="dxa"/>
            <w:vAlign w:val="center"/>
          </w:tcPr>
          <w:p w14:paraId="067955D8"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77DEE47B"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EA30E3" w14:paraId="51B63B4F" w14:textId="77777777">
        <w:trPr>
          <w:trHeight w:val="352"/>
        </w:trPr>
        <w:tc>
          <w:tcPr>
            <w:tcW w:w="823" w:type="dxa"/>
            <w:vAlign w:val="center"/>
          </w:tcPr>
          <w:p w14:paraId="66B6220E" w14:textId="77777777" w:rsidR="00EA30E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240" w:type="dxa"/>
            <w:vAlign w:val="center"/>
          </w:tcPr>
          <w:p w14:paraId="74457310" w14:textId="77777777" w:rsidR="00EA30E3"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2070" w:type="dxa"/>
            <w:vAlign w:val="center"/>
          </w:tcPr>
          <w:p w14:paraId="275C0FF2"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2097" w:type="dxa"/>
            <w:vAlign w:val="center"/>
          </w:tcPr>
          <w:p w14:paraId="11DC7662"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EA30E3" w14:paraId="63B6C4B9" w14:textId="77777777">
        <w:trPr>
          <w:trHeight w:val="369"/>
        </w:trPr>
        <w:tc>
          <w:tcPr>
            <w:tcW w:w="823" w:type="dxa"/>
            <w:vAlign w:val="center"/>
          </w:tcPr>
          <w:p w14:paraId="570E17E5" w14:textId="77777777" w:rsidR="00EA30E3"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240" w:type="dxa"/>
            <w:vAlign w:val="center"/>
          </w:tcPr>
          <w:p w14:paraId="52B78FFF" w14:textId="77777777" w:rsidR="00EA30E3"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2070" w:type="dxa"/>
            <w:vAlign w:val="center"/>
          </w:tcPr>
          <w:p w14:paraId="671C0160"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2097" w:type="dxa"/>
            <w:vAlign w:val="center"/>
          </w:tcPr>
          <w:p w14:paraId="386DB49D"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EA30E3" w14:paraId="73E17C53" w14:textId="77777777">
        <w:trPr>
          <w:trHeight w:val="352"/>
        </w:trPr>
        <w:tc>
          <w:tcPr>
            <w:tcW w:w="823" w:type="dxa"/>
            <w:vAlign w:val="center"/>
          </w:tcPr>
          <w:p w14:paraId="75A5D74D"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240" w:type="dxa"/>
            <w:vAlign w:val="center"/>
          </w:tcPr>
          <w:p w14:paraId="7641ACF7"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2070" w:type="dxa"/>
            <w:vAlign w:val="center"/>
          </w:tcPr>
          <w:p w14:paraId="509573A5"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10825AC9"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EA30E3" w14:paraId="3F84B5FB" w14:textId="77777777">
        <w:trPr>
          <w:trHeight w:val="369"/>
        </w:trPr>
        <w:tc>
          <w:tcPr>
            <w:tcW w:w="823" w:type="dxa"/>
            <w:vAlign w:val="center"/>
          </w:tcPr>
          <w:p w14:paraId="2C6B7BE8"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240" w:type="dxa"/>
            <w:vAlign w:val="center"/>
          </w:tcPr>
          <w:p w14:paraId="327D4195"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2070" w:type="dxa"/>
            <w:vAlign w:val="center"/>
          </w:tcPr>
          <w:p w14:paraId="0A49C3DA"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4AEB4A0D"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EA30E3" w14:paraId="50CF300E" w14:textId="77777777">
        <w:trPr>
          <w:trHeight w:val="352"/>
        </w:trPr>
        <w:tc>
          <w:tcPr>
            <w:tcW w:w="823" w:type="dxa"/>
            <w:vAlign w:val="center"/>
          </w:tcPr>
          <w:p w14:paraId="61462F2E"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240" w:type="dxa"/>
            <w:vAlign w:val="center"/>
          </w:tcPr>
          <w:p w14:paraId="5C8CDF1C" w14:textId="77777777" w:rsidR="00EA30E3"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2070" w:type="dxa"/>
            <w:vAlign w:val="center"/>
          </w:tcPr>
          <w:p w14:paraId="2358287D"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08160BCB"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EA30E3" w14:paraId="1A1CFF82" w14:textId="77777777">
        <w:trPr>
          <w:trHeight w:val="352"/>
        </w:trPr>
        <w:tc>
          <w:tcPr>
            <w:tcW w:w="823" w:type="dxa"/>
            <w:vAlign w:val="center"/>
          </w:tcPr>
          <w:p w14:paraId="3773639A" w14:textId="77777777" w:rsidR="00EA30E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240" w:type="dxa"/>
            <w:vAlign w:val="center"/>
          </w:tcPr>
          <w:p w14:paraId="60C0CE9B" w14:textId="77777777" w:rsidR="00EA30E3"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2070" w:type="dxa"/>
            <w:vAlign w:val="center"/>
          </w:tcPr>
          <w:p w14:paraId="5FC2EAF8"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2097" w:type="dxa"/>
            <w:vAlign w:val="center"/>
          </w:tcPr>
          <w:p w14:paraId="53BD240E"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EA30E3" w14:paraId="3DDE6A8C" w14:textId="77777777">
        <w:trPr>
          <w:trHeight w:val="352"/>
        </w:trPr>
        <w:tc>
          <w:tcPr>
            <w:tcW w:w="823" w:type="dxa"/>
            <w:vAlign w:val="center"/>
          </w:tcPr>
          <w:p w14:paraId="6582F092" w14:textId="77777777" w:rsidR="00EA30E3"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240" w:type="dxa"/>
            <w:vAlign w:val="center"/>
          </w:tcPr>
          <w:p w14:paraId="6B5402C7" w14:textId="77777777" w:rsidR="00EA30E3"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2070" w:type="dxa"/>
            <w:vAlign w:val="center"/>
          </w:tcPr>
          <w:p w14:paraId="10FB8229"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097" w:type="dxa"/>
            <w:vAlign w:val="center"/>
          </w:tcPr>
          <w:p w14:paraId="1BBD07BC"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EA30E3" w14:paraId="7A0F6D96" w14:textId="77777777">
        <w:trPr>
          <w:trHeight w:val="352"/>
        </w:trPr>
        <w:tc>
          <w:tcPr>
            <w:tcW w:w="823" w:type="dxa"/>
            <w:vAlign w:val="center"/>
          </w:tcPr>
          <w:p w14:paraId="18AA5FFE" w14:textId="77777777" w:rsidR="00EA30E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240" w:type="dxa"/>
            <w:vAlign w:val="center"/>
          </w:tcPr>
          <w:p w14:paraId="5B3152A9" w14:textId="77777777" w:rsidR="00EA30E3"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2070" w:type="dxa"/>
            <w:vAlign w:val="center"/>
          </w:tcPr>
          <w:p w14:paraId="0E3D10DD"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097" w:type="dxa"/>
            <w:vAlign w:val="center"/>
          </w:tcPr>
          <w:p w14:paraId="57BC9E3D" w14:textId="77777777" w:rsidR="00EA30E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3CEC151E" w14:textId="77777777" w:rsidR="00EA30E3"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,31.25pg/mL ,62.5pg/mL , 125pg/mL ,250pg/mL ,500pg/mL.</w:t>
      </w:r>
    </w:p>
    <w:p w14:paraId="47F30307" w14:textId="77777777" w:rsidR="00EA30E3" w:rsidRDefault="00EA30E3">
      <w:pPr>
        <w:spacing w:line="360" w:lineRule="auto"/>
        <w:rPr>
          <w:rFonts w:ascii="Times New Roman" w:eastAsia="Gulim" w:hAnsi="Times New Roman" w:cs="Times New Roman"/>
          <w:color w:val="000000"/>
          <w:kern w:val="0"/>
        </w:rPr>
      </w:pPr>
    </w:p>
    <w:p w14:paraId="50C8094B" w14:textId="77777777" w:rsidR="00EA30E3" w:rsidRDefault="00EA30E3">
      <w:pPr>
        <w:spacing w:line="360" w:lineRule="auto"/>
        <w:rPr>
          <w:rFonts w:ascii="Times New Roman" w:eastAsia="Gulim" w:hAnsi="Times New Roman" w:cs="Times New Roman"/>
          <w:color w:val="000000"/>
          <w:kern w:val="0"/>
        </w:rPr>
      </w:pPr>
    </w:p>
    <w:p w14:paraId="251975B6" w14:textId="77777777" w:rsidR="00EA30E3"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5CC59D6F"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24358EC2"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35B25D60"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16B50EDC"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3B07BF60"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33459B38"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106088EA"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62713D1E" w14:textId="77777777" w:rsidR="00EA30E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2D428603" w14:textId="77777777" w:rsidR="00EA30E3" w:rsidRDefault="00EA30E3">
      <w:pPr>
        <w:spacing w:line="360" w:lineRule="auto"/>
        <w:rPr>
          <w:rFonts w:ascii="Times New Roman" w:eastAsia="Gulim" w:hAnsi="Times New Roman" w:cs="Times New Roman"/>
          <w:color w:val="000000"/>
          <w:kern w:val="0"/>
          <w:sz w:val="28"/>
          <w:szCs w:val="28"/>
        </w:rPr>
      </w:pPr>
    </w:p>
    <w:p w14:paraId="6C1BD9F5" w14:textId="77777777" w:rsidR="00EA30E3" w:rsidRDefault="00EA30E3">
      <w:pPr>
        <w:spacing w:line="360" w:lineRule="auto"/>
        <w:rPr>
          <w:rFonts w:ascii="Times New Roman" w:eastAsia="Gulim" w:hAnsi="Times New Roman" w:cs="Times New Roman"/>
          <w:color w:val="000000"/>
          <w:kern w:val="0"/>
          <w:sz w:val="28"/>
          <w:szCs w:val="28"/>
        </w:rPr>
      </w:pPr>
    </w:p>
    <w:p w14:paraId="0385870A" w14:textId="77777777" w:rsidR="00EA30E3"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349A4800" w14:textId="77777777" w:rsidR="00EA30E3" w:rsidRDefault="00EA30E3">
      <w:pPr>
        <w:spacing w:line="0" w:lineRule="atLeast"/>
        <w:rPr>
          <w:rFonts w:ascii="Times New Roman" w:eastAsia="SimSun" w:hAnsi="Times New Roman"/>
          <w:b/>
          <w:bCs/>
          <w:sz w:val="28"/>
        </w:rPr>
      </w:pPr>
    </w:p>
    <w:p w14:paraId="1DC8F8C6"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41FC966D"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In accordance with the requirements of sample collection, EDTA or sodium citrate should be used as anti coagulation. Add EDTA or sodium citrate and mix them for 10-20 minutes. Centrifuge (at 2000-3000 RPM) for approximately 20 minutes. Collect the supernatants carefully. When sediments occurred during storage, centrifugation should be performed again.</w:t>
      </w:r>
    </w:p>
    <w:p w14:paraId="1223ACEA"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7DAD5443"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7D868493" w14:textId="77777777" w:rsidR="00EA30E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2C98ED85" w14:textId="77777777" w:rsidR="00EA30E3" w:rsidRDefault="00EA30E3">
      <w:pPr>
        <w:rPr>
          <w:rFonts w:ascii="Times New Roman" w:hAnsi="Times New Roman" w:cs="Times New Roman"/>
          <w:b/>
          <w:bCs/>
          <w:i/>
          <w:iCs/>
          <w:sz w:val="24"/>
        </w:rPr>
      </w:pPr>
    </w:p>
    <w:p w14:paraId="01DCD35F" w14:textId="77777777" w:rsidR="00EA30E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0FA5A501" w14:textId="77777777" w:rsidR="00EA30E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60B7C166" w14:textId="77777777" w:rsidR="00EA30E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04835314" w14:textId="77777777" w:rsidR="00EA30E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3D16E4C2" w14:textId="77777777" w:rsidR="00EA30E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3252ACAF" w14:textId="77777777" w:rsidR="00EA30E3" w:rsidRDefault="00EA30E3">
      <w:pPr>
        <w:autoSpaceDE w:val="0"/>
        <w:autoSpaceDN w:val="0"/>
        <w:adjustRightInd w:val="0"/>
        <w:spacing w:line="360" w:lineRule="auto"/>
        <w:jc w:val="left"/>
        <w:rPr>
          <w:rFonts w:ascii="Times New Roman" w:hAnsi="Times New Roman" w:cs="Times New Roman"/>
          <w:color w:val="000000"/>
          <w:kern w:val="0"/>
          <w:sz w:val="22"/>
          <w:szCs w:val="22"/>
        </w:rPr>
      </w:pPr>
    </w:p>
    <w:p w14:paraId="28B796FC" w14:textId="77777777" w:rsidR="00EA30E3" w:rsidRDefault="00EA30E3">
      <w:pPr>
        <w:spacing w:line="360" w:lineRule="auto"/>
        <w:rPr>
          <w:rFonts w:ascii="Times New Roman" w:eastAsia="Gulim" w:hAnsi="Times New Roman" w:cs="Times New Roman"/>
          <w:color w:val="000000"/>
          <w:kern w:val="0"/>
          <w:sz w:val="22"/>
          <w:szCs w:val="22"/>
        </w:rPr>
      </w:pPr>
    </w:p>
    <w:p w14:paraId="2627FA1F" w14:textId="77777777" w:rsidR="00EA30E3"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66B3300E"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03477D27" w14:textId="77777777" w:rsidR="00EA30E3"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68990281" w14:textId="77777777" w:rsidR="00EA30E3" w:rsidRDefault="00EA30E3">
      <w:pPr>
        <w:rPr>
          <w:rFonts w:ascii="Times New Roman" w:hAnsi="Times New Roman"/>
          <w:b/>
          <w:color w:val="000000"/>
          <w:sz w:val="28"/>
          <w:szCs w:val="28"/>
        </w:rPr>
      </w:pPr>
    </w:p>
    <w:p w14:paraId="5101F7B1" w14:textId="77777777" w:rsidR="00EA30E3" w:rsidRDefault="00EA30E3">
      <w:pPr>
        <w:rPr>
          <w:rFonts w:ascii="Times New Roman" w:hAnsi="Times New Roman"/>
          <w:b/>
          <w:color w:val="000000"/>
          <w:sz w:val="28"/>
          <w:szCs w:val="28"/>
        </w:rPr>
      </w:pPr>
    </w:p>
    <w:p w14:paraId="53881033" w14:textId="77777777" w:rsidR="00EA30E3" w:rsidRDefault="00EA30E3">
      <w:pPr>
        <w:rPr>
          <w:rFonts w:ascii="Times New Roman" w:hAnsi="Times New Roman"/>
          <w:b/>
          <w:color w:val="000000"/>
          <w:sz w:val="28"/>
          <w:szCs w:val="28"/>
        </w:rPr>
      </w:pPr>
    </w:p>
    <w:p w14:paraId="25E258A2" w14:textId="77777777" w:rsidR="00EA30E3" w:rsidRDefault="00EA30E3">
      <w:pPr>
        <w:rPr>
          <w:rFonts w:ascii="Times New Roman" w:hAnsi="Times New Roman"/>
          <w:b/>
          <w:color w:val="000000"/>
          <w:sz w:val="28"/>
          <w:szCs w:val="28"/>
        </w:rPr>
      </w:pPr>
    </w:p>
    <w:p w14:paraId="776F0C19" w14:textId="77777777" w:rsidR="00EA30E3"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7A3025B2"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  Prepare all reagents before starting assay procedure. It is recommended that all Standards and Samples be added in duplicate to the Microelisa Stripplate.</w:t>
      </w:r>
    </w:p>
    <w:p w14:paraId="24231F5E"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72771CCE"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5E990BDC" w14:textId="77777777" w:rsidR="00EA30E3"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3068EF08"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44A6E644"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 </w:t>
      </w:r>
      <w:r>
        <w:rPr>
          <w:rFonts w:ascii="Times New Roman" w:eastAsia="Gulim" w:hAnsi="Times New Roman" w:cs="Times New Roman"/>
          <w:color w:val="000000"/>
          <w:kern w:val="0"/>
          <w:sz w:val="22"/>
          <w:szCs w:val="22"/>
        </w:rPr>
        <w:t xml:space="preserve">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51DC88CE"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14793954"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099913FA"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50A003BC" w14:textId="77777777" w:rsidR="00EA30E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25BC19B1" w14:textId="77777777" w:rsidR="00EA30E3"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3C325F56" w14:textId="77777777" w:rsidR="00EA30E3" w:rsidRDefault="00EA30E3">
      <w:pPr>
        <w:spacing w:line="360" w:lineRule="auto"/>
        <w:rPr>
          <w:rFonts w:ascii="Times New Roman" w:eastAsia="Gulim" w:hAnsi="Times New Roman" w:cs="Times New Roman"/>
          <w:color w:val="000000"/>
          <w:kern w:val="0"/>
          <w:sz w:val="22"/>
          <w:szCs w:val="22"/>
        </w:rPr>
      </w:pPr>
    </w:p>
    <w:p w14:paraId="73803D62" w14:textId="77777777" w:rsidR="00EA30E3"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19BFBBF6" w14:textId="77777777" w:rsidR="00EA30E3" w:rsidRDefault="00EA30E3">
      <w:pPr>
        <w:spacing w:line="360" w:lineRule="auto"/>
        <w:rPr>
          <w:rFonts w:ascii="Times New Roman" w:eastAsia="Gulim" w:hAnsi="Times New Roman" w:cs="Times New Roman"/>
          <w:color w:val="000000"/>
          <w:kern w:val="0"/>
          <w:position w:val="-1"/>
          <w:sz w:val="22"/>
          <w:szCs w:val="22"/>
        </w:rPr>
      </w:pPr>
    </w:p>
    <w:p w14:paraId="6B9A7A72" w14:textId="77777777" w:rsidR="00EA30E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40F4C1D" wp14:editId="69E7D87D">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E2A9546" w14:textId="77777777" w:rsidR="00EA30E3" w:rsidRDefault="00EA30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40F4C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5E2A9546" w14:textId="77777777" w:rsidR="00EA30E3" w:rsidRDefault="00EA30E3">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20585C74" w14:textId="77777777" w:rsidR="00EA30E3" w:rsidRDefault="00EA30E3">
      <w:pPr>
        <w:spacing w:line="360" w:lineRule="auto"/>
        <w:rPr>
          <w:rFonts w:ascii="Times New Roman" w:eastAsia="Gulim" w:hAnsi="Times New Roman" w:cs="Times New Roman"/>
          <w:color w:val="000000"/>
          <w:kern w:val="0"/>
          <w:position w:val="-1"/>
          <w:sz w:val="22"/>
          <w:szCs w:val="22"/>
        </w:rPr>
      </w:pPr>
    </w:p>
    <w:p w14:paraId="78DF9D7D" w14:textId="77777777" w:rsidR="00EA30E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7E691916" wp14:editId="20F44D7E">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76AEE0EC" w14:textId="77777777" w:rsidR="00EA30E3" w:rsidRDefault="00EA30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691916"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76AEE0EC" w14:textId="77777777" w:rsidR="00EA30E3" w:rsidRDefault="00EA30E3">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gramStart"/>
      <w:r>
        <w:rPr>
          <w:rFonts w:ascii="Times New Roman" w:eastAsia="Gulim" w:hAnsi="Times New Roman" w:cs="Times New Roman"/>
          <w:color w:val="000000"/>
          <w:kern w:val="0"/>
          <w:position w:val="-1"/>
          <w:sz w:val="22"/>
          <w:szCs w:val="22"/>
        </w:rPr>
        <w:t>standards,and</w:t>
      </w:r>
      <w:proofErr w:type="gramEnd"/>
      <w:r>
        <w:rPr>
          <w:rFonts w:ascii="Times New Roman" w:eastAsia="Gulim" w:hAnsi="Times New Roman" w:cs="Times New Roman"/>
          <w:color w:val="000000"/>
          <w:kern w:val="0"/>
          <w:position w:val="-1"/>
          <w:sz w:val="22"/>
          <w:szCs w:val="22"/>
        </w:rPr>
        <w:t xml:space="preserve"> HRP, 37°C incubation for 60 minutes</w:t>
      </w:r>
    </w:p>
    <w:p w14:paraId="35A9ABF6" w14:textId="77777777" w:rsidR="00EA30E3" w:rsidRDefault="00EA30E3">
      <w:pPr>
        <w:spacing w:line="360" w:lineRule="auto"/>
        <w:rPr>
          <w:rFonts w:ascii="Times New Roman" w:eastAsia="Gulim" w:hAnsi="Times New Roman" w:cs="Times New Roman"/>
          <w:color w:val="000000"/>
          <w:kern w:val="0"/>
          <w:position w:val="-1"/>
          <w:sz w:val="22"/>
          <w:szCs w:val="22"/>
        </w:rPr>
      </w:pPr>
    </w:p>
    <w:p w14:paraId="4936D768" w14:textId="77777777" w:rsidR="00EA30E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74D8ED9" wp14:editId="556DFDE3">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11BA8EE8" w14:textId="77777777" w:rsidR="00EA30E3" w:rsidRDefault="00EA30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4D8ED9"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11BA8EE8" w14:textId="77777777" w:rsidR="00EA30E3" w:rsidRDefault="00EA30E3">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57F27EDB" w14:textId="77777777" w:rsidR="00EA30E3" w:rsidRDefault="00EA30E3">
      <w:pPr>
        <w:spacing w:line="360" w:lineRule="auto"/>
        <w:rPr>
          <w:rFonts w:ascii="Times New Roman" w:eastAsia="Gulim" w:hAnsi="Times New Roman" w:cs="Times New Roman"/>
          <w:color w:val="000000"/>
          <w:kern w:val="0"/>
          <w:position w:val="-1"/>
          <w:sz w:val="22"/>
          <w:szCs w:val="22"/>
        </w:rPr>
      </w:pPr>
    </w:p>
    <w:p w14:paraId="0CF97BBE" w14:textId="77777777" w:rsidR="00EA30E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77B1CC3F" wp14:editId="7AF58478">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20B7ADC3" w14:textId="77777777" w:rsidR="00EA30E3" w:rsidRDefault="00EA30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B1CC3F"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20B7ADC3" w14:textId="77777777" w:rsidR="00EA30E3" w:rsidRDefault="00EA30E3">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5A0CD5E1" w14:textId="77777777" w:rsidR="00EA30E3" w:rsidRDefault="00EA30E3">
      <w:pPr>
        <w:spacing w:line="360" w:lineRule="auto"/>
        <w:rPr>
          <w:rFonts w:ascii="Times New Roman" w:eastAsia="Gulim" w:hAnsi="Times New Roman" w:cs="Times New Roman"/>
          <w:color w:val="000000"/>
          <w:kern w:val="0"/>
          <w:position w:val="-1"/>
          <w:sz w:val="22"/>
          <w:szCs w:val="22"/>
        </w:rPr>
      </w:pPr>
    </w:p>
    <w:p w14:paraId="3975F8DF" w14:textId="77777777" w:rsidR="00EA30E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37E7EBE7" wp14:editId="5751BD94">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11795886" w14:textId="77777777" w:rsidR="00EA30E3" w:rsidRDefault="00EA30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E7EBE7"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11795886" w14:textId="77777777" w:rsidR="00EA30E3" w:rsidRDefault="00EA30E3">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7DD95E92" w14:textId="77777777" w:rsidR="00EA30E3" w:rsidRDefault="00EA30E3">
      <w:pPr>
        <w:spacing w:line="360" w:lineRule="auto"/>
        <w:rPr>
          <w:rFonts w:ascii="Times New Roman" w:eastAsia="Gulim" w:hAnsi="Times New Roman" w:cs="Times New Roman"/>
          <w:color w:val="000000"/>
          <w:kern w:val="0"/>
          <w:position w:val="-1"/>
          <w:sz w:val="22"/>
          <w:szCs w:val="22"/>
        </w:rPr>
      </w:pPr>
    </w:p>
    <w:p w14:paraId="170E05E5" w14:textId="77777777" w:rsidR="00EA30E3"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1004E99A" w14:textId="77777777" w:rsidR="00EA30E3" w:rsidRDefault="00EA30E3">
      <w:pPr>
        <w:spacing w:line="360" w:lineRule="auto"/>
        <w:rPr>
          <w:rFonts w:ascii="Times New Roman" w:eastAsia="Gulim" w:hAnsi="Times New Roman" w:cs="Times New Roman"/>
          <w:color w:val="000000"/>
          <w:kern w:val="0"/>
          <w:position w:val="-1"/>
          <w:sz w:val="22"/>
          <w:szCs w:val="22"/>
        </w:rPr>
      </w:pPr>
    </w:p>
    <w:p w14:paraId="27827065" w14:textId="77777777" w:rsidR="00EA30E3" w:rsidRDefault="00EA30E3">
      <w:pPr>
        <w:spacing w:line="360" w:lineRule="auto"/>
        <w:rPr>
          <w:rFonts w:ascii="Times New Roman" w:eastAsia="Gulim" w:hAnsi="Times New Roman" w:cs="Times New Roman"/>
          <w:color w:val="000000"/>
          <w:kern w:val="0"/>
          <w:position w:val="-1"/>
        </w:rPr>
      </w:pPr>
    </w:p>
    <w:p w14:paraId="521E960D" w14:textId="77777777" w:rsidR="00EA30E3"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7A6F55DF" w14:textId="77777777" w:rsidR="00EA30E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1C3E5475" w14:textId="77777777" w:rsidR="00EA30E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1E3ADD81" w14:textId="77777777" w:rsidR="00EA30E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53505EE6" w14:textId="77777777" w:rsidR="00EA30E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4D5590DE" w14:textId="77777777" w:rsidR="00EA30E3"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66A38364" w14:textId="77777777" w:rsidR="00EA30E3" w:rsidRDefault="00000000">
      <w:pPr>
        <w:rPr>
          <w:rFonts w:ascii="Times New Roman" w:hAnsi="Times New Roman" w:cs="Times New Roman"/>
          <w:sz w:val="22"/>
          <w:szCs w:val="22"/>
        </w:rPr>
      </w:pPr>
      <w:r>
        <w:rPr>
          <w:rFonts w:ascii="Times New Roman" w:hAnsi="Times New Roman" w:hint="eastAsia"/>
          <w:color w:val="000000"/>
          <w:sz w:val="22"/>
          <w:szCs w:val="22"/>
        </w:rPr>
        <w:t>6.</w:t>
      </w: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29F47F00" w14:textId="77777777" w:rsidR="00EA30E3" w:rsidRDefault="00000000">
      <w:p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75E2CD99" wp14:editId="18F669EF">
            <wp:simplePos x="0" y="0"/>
            <wp:positionH relativeFrom="column">
              <wp:posOffset>762000</wp:posOffset>
            </wp:positionH>
            <wp:positionV relativeFrom="paragraph">
              <wp:posOffset>157480</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23B8FD84" w14:textId="77777777" w:rsidR="00EA30E3"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0AE2749E" w14:textId="77777777" w:rsidR="00EA30E3" w:rsidRDefault="00EA30E3">
      <w:pPr>
        <w:jc w:val="center"/>
        <w:rPr>
          <w:rFonts w:ascii="Times New Roman" w:eastAsia="MFKKCL+Arial" w:hAnsi="Times New Roman"/>
          <w:color w:val="000000"/>
          <w:kern w:val="0"/>
        </w:rPr>
      </w:pPr>
    </w:p>
    <w:p w14:paraId="2CA085B3" w14:textId="77777777" w:rsidR="00EA30E3" w:rsidRDefault="00EA30E3">
      <w:pPr>
        <w:rPr>
          <w:rFonts w:ascii="Times New Roman" w:eastAsia="MFKKCL+Arial" w:hAnsi="Times New Roman"/>
          <w:color w:val="000000"/>
          <w:kern w:val="0"/>
        </w:rPr>
      </w:pPr>
    </w:p>
    <w:p w14:paraId="2535F5A0" w14:textId="77777777" w:rsidR="00EA30E3" w:rsidRDefault="00EA30E3">
      <w:pPr>
        <w:spacing w:line="160" w:lineRule="atLeast"/>
      </w:pPr>
    </w:p>
    <w:p w14:paraId="221CCD8C" w14:textId="77777777" w:rsidR="00EA30E3" w:rsidRDefault="00EA30E3">
      <w:pPr>
        <w:spacing w:line="160" w:lineRule="atLeast"/>
      </w:pPr>
    </w:p>
    <w:p w14:paraId="46064635" w14:textId="77777777" w:rsidR="00EA30E3" w:rsidRDefault="00EA30E3">
      <w:pPr>
        <w:spacing w:line="160" w:lineRule="atLeast"/>
      </w:pPr>
    </w:p>
    <w:p w14:paraId="79C02AA1" w14:textId="77777777" w:rsidR="00EA30E3" w:rsidRDefault="00EA30E3">
      <w:pPr>
        <w:spacing w:line="160" w:lineRule="atLeast"/>
      </w:pPr>
    </w:p>
    <w:p w14:paraId="5C305859" w14:textId="77777777" w:rsidR="00EA30E3" w:rsidRDefault="00EA30E3">
      <w:pPr>
        <w:spacing w:line="160" w:lineRule="atLeast"/>
      </w:pPr>
    </w:p>
    <w:p w14:paraId="45BA43E5" w14:textId="77777777" w:rsidR="00EA30E3" w:rsidRDefault="00EA30E3">
      <w:pPr>
        <w:spacing w:line="160" w:lineRule="atLeast"/>
      </w:pPr>
    </w:p>
    <w:p w14:paraId="15CB81CF" w14:textId="77777777" w:rsidR="00EA30E3"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3B3F9EF7" w14:textId="77777777" w:rsidR="00EA30E3" w:rsidRDefault="00EA30E3">
      <w:pPr>
        <w:rPr>
          <w:rFonts w:ascii="Times New Roman" w:hAnsi="Times New Roman" w:cs="Times New Roman"/>
          <w:sz w:val="22"/>
          <w:szCs w:val="22"/>
        </w:rPr>
      </w:pPr>
    </w:p>
    <w:p w14:paraId="12C24F7C" w14:textId="77777777" w:rsidR="00EA30E3"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43701526" w14:textId="77777777" w:rsidR="00EA30E3" w:rsidRDefault="00EA30E3">
      <w:pPr>
        <w:rPr>
          <w:rFonts w:ascii="Times New Roman" w:hAnsi="Times New Roman" w:cs="Times New Roman"/>
          <w:sz w:val="22"/>
          <w:szCs w:val="22"/>
        </w:rPr>
      </w:pPr>
    </w:p>
    <w:p w14:paraId="3DE8291F" w14:textId="77777777" w:rsidR="00EA30E3"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0E7E6DB2" w14:textId="77777777" w:rsidR="00EA30E3" w:rsidRDefault="00EA30E3">
      <w:pPr>
        <w:spacing w:line="160" w:lineRule="atLeast"/>
      </w:pPr>
    </w:p>
    <w:p w14:paraId="2342FA91" w14:textId="77777777" w:rsidR="00EA30E3" w:rsidRDefault="00EA30E3">
      <w:pPr>
        <w:spacing w:line="160" w:lineRule="atLeast"/>
      </w:pPr>
    </w:p>
    <w:p w14:paraId="5B93494B" w14:textId="77777777" w:rsidR="00EA30E3" w:rsidRDefault="00EA30E3">
      <w:pPr>
        <w:spacing w:line="160" w:lineRule="atLeast"/>
      </w:pPr>
    </w:p>
    <w:p w14:paraId="3C6F9A10" w14:textId="77777777" w:rsidR="00EA30E3" w:rsidRDefault="00EA30E3">
      <w:pPr>
        <w:spacing w:line="160" w:lineRule="atLeast"/>
      </w:pPr>
    </w:p>
    <w:p w14:paraId="20762D28" w14:textId="77777777" w:rsidR="00EA30E3" w:rsidRDefault="00EA30E3">
      <w:pPr>
        <w:autoSpaceDE w:val="0"/>
        <w:autoSpaceDN w:val="0"/>
        <w:jc w:val="center"/>
        <w:rPr>
          <w:rFonts w:ascii="Times New Roman" w:eastAsia="Arial" w:hAnsi="Times New Roman"/>
          <w:b/>
          <w:sz w:val="24"/>
        </w:rPr>
      </w:pPr>
    </w:p>
    <w:p w14:paraId="70AF2D19" w14:textId="77777777" w:rsidR="00EA30E3"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0B62028F" w14:textId="77777777" w:rsidR="00EA30E3" w:rsidRDefault="00EA30E3">
      <w:pPr>
        <w:rPr>
          <w:rFonts w:ascii="Times New Roman" w:eastAsia="MFKKCL+Arial" w:hAnsi="Times New Roman"/>
          <w:color w:val="000000"/>
          <w:kern w:val="0"/>
        </w:rPr>
      </w:pPr>
    </w:p>
    <w:sectPr w:rsidR="00EA30E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7E21" w14:textId="77777777" w:rsidR="00820C99" w:rsidRDefault="00820C99">
      <w:r>
        <w:separator/>
      </w:r>
    </w:p>
  </w:endnote>
  <w:endnote w:type="continuationSeparator" w:id="0">
    <w:p w14:paraId="78E863E3" w14:textId="77777777" w:rsidR="00820C99" w:rsidRDefault="0082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FD52" w14:textId="77777777" w:rsidR="00EA30E3"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18B4966B" wp14:editId="62FB4FA0">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252A5" w14:textId="77777777" w:rsidR="00EA30E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B4966B"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715252A5" w14:textId="77777777" w:rsidR="00EA30E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56B12AE6" w14:textId="77777777" w:rsidR="00EA30E3"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65C799FC" w14:textId="77777777" w:rsidR="00EA30E3" w:rsidRDefault="00EA30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EA24" w14:textId="77777777" w:rsidR="00820C99" w:rsidRDefault="00820C99">
      <w:r>
        <w:separator/>
      </w:r>
    </w:p>
  </w:footnote>
  <w:footnote w:type="continuationSeparator" w:id="0">
    <w:p w14:paraId="14F7D6E6" w14:textId="77777777" w:rsidR="00820C99" w:rsidRDefault="00820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8437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b59e200f-87d5-4609-8231-d6ed306e76db"/>
  </w:docVars>
  <w:rsids>
    <w:rsidRoot w:val="00EA30E3"/>
    <w:rsid w:val="00820C99"/>
    <w:rsid w:val="00E4088C"/>
    <w:rsid w:val="00EA30E3"/>
    <w:rsid w:val="02E34DE9"/>
    <w:rsid w:val="05D31B2A"/>
    <w:rsid w:val="064A1C7D"/>
    <w:rsid w:val="0A81503C"/>
    <w:rsid w:val="0DB16EBA"/>
    <w:rsid w:val="0E2C0F83"/>
    <w:rsid w:val="113440A3"/>
    <w:rsid w:val="12E120C9"/>
    <w:rsid w:val="157855EF"/>
    <w:rsid w:val="15962005"/>
    <w:rsid w:val="172C3A0D"/>
    <w:rsid w:val="19676C9C"/>
    <w:rsid w:val="19A91741"/>
    <w:rsid w:val="1F263B10"/>
    <w:rsid w:val="202A53D4"/>
    <w:rsid w:val="230C516F"/>
    <w:rsid w:val="237C37D7"/>
    <w:rsid w:val="25DF52F8"/>
    <w:rsid w:val="28733466"/>
    <w:rsid w:val="2B33116D"/>
    <w:rsid w:val="313C6479"/>
    <w:rsid w:val="348638D4"/>
    <w:rsid w:val="367318E7"/>
    <w:rsid w:val="38173259"/>
    <w:rsid w:val="3DD039AF"/>
    <w:rsid w:val="3FD4629C"/>
    <w:rsid w:val="46456265"/>
    <w:rsid w:val="4ABE3666"/>
    <w:rsid w:val="4CDB4DFF"/>
    <w:rsid w:val="508F645D"/>
    <w:rsid w:val="540759A1"/>
    <w:rsid w:val="547A1189"/>
    <w:rsid w:val="557901A2"/>
    <w:rsid w:val="57625E22"/>
    <w:rsid w:val="58166828"/>
    <w:rsid w:val="5D220252"/>
    <w:rsid w:val="61FF3D63"/>
    <w:rsid w:val="65C218ED"/>
    <w:rsid w:val="6BD9279C"/>
    <w:rsid w:val="6BDA508E"/>
    <w:rsid w:val="6CB83240"/>
    <w:rsid w:val="70C0136A"/>
    <w:rsid w:val="70E955D8"/>
    <w:rsid w:val="71472BA7"/>
    <w:rsid w:val="7161330A"/>
    <w:rsid w:val="749B2BFB"/>
    <w:rsid w:val="767A1918"/>
    <w:rsid w:val="792605E7"/>
    <w:rsid w:val="7B393E71"/>
    <w:rsid w:val="7E34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1B2C75"/>
  <w15:docId w15:val="{7D283CC3-E826-4F0D-9E64-DD23D4B6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2023-03-10T03:00:00Z</dcterms:created>
  <dcterms:modified xsi:type="dcterms:W3CDTF">2023-03-10T03:00:00Z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1FC81AB306B6456C82B3772FD9BDEDA2</vt:lpwstr>
  </property>
</Properties>
</file>